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44" w:rsidRDefault="00096A44" w:rsidP="00096A44">
      <w:pPr>
        <w:widowControl w:val="0"/>
        <w:autoSpaceDE w:val="0"/>
        <w:autoSpaceDN w:val="0"/>
        <w:adjustRightInd w:val="0"/>
        <w:rPr>
          <w:rFonts w:ascii="Arial" w:hAnsi="Arial" w:cs="Arial"/>
          <w:color w:val="535353"/>
          <w:sz w:val="22"/>
          <w:szCs w:val="22"/>
          <w:lang w:val="es-ES"/>
        </w:rPr>
      </w:pPr>
      <w:r>
        <w:rPr>
          <w:rFonts w:ascii="Arial" w:hAnsi="Arial" w:cs="Arial"/>
          <w:noProof/>
          <w:color w:val="535353"/>
          <w:sz w:val="26"/>
          <w:szCs w:val="26"/>
          <w:lang w:val="es-ES"/>
        </w:rPr>
        <w:drawing>
          <wp:inline distT="0" distB="0" distL="0" distR="0">
            <wp:extent cx="12700" cy="12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>
          <w:rPr>
            <w:rFonts w:ascii="Arial" w:hAnsi="Arial" w:cs="Arial"/>
            <w:color w:val="535353"/>
            <w:sz w:val="26"/>
            <w:szCs w:val="26"/>
            <w:lang w:val="es-ES"/>
          </w:rPr>
          <w:t>Seleccionar idioma</w:t>
        </w:r>
        <w:r>
          <w:rPr>
            <w:rFonts w:ascii="Arial" w:hAnsi="Arial" w:cs="Arial"/>
            <w:noProof/>
            <w:sz w:val="26"/>
            <w:szCs w:val="26"/>
            <w:lang w:val="es-ES"/>
          </w:rPr>
          <w:drawing>
            <wp:inline distT="0" distB="0" distL="0" distR="0" wp14:anchorId="5180CB09" wp14:editId="54F9EC30">
              <wp:extent cx="12700" cy="12700"/>
              <wp:effectExtent l="0" t="0" r="0" b="0"/>
              <wp:docPr id="2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00" cy="1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535353"/>
            <w:sz w:val="26"/>
            <w:szCs w:val="26"/>
            <w:lang w:val="es-ES"/>
          </w:rPr>
          <w:t xml:space="preserve"> </w:t>
        </w:r>
        <w:r>
          <w:rPr>
            <w:rFonts w:ascii="Arial" w:hAnsi="Arial" w:cs="Arial"/>
            <w:noProof/>
            <w:sz w:val="26"/>
            <w:szCs w:val="26"/>
            <w:lang w:val="es-ES"/>
          </w:rPr>
          <w:drawing>
            <wp:inline distT="0" distB="0" distL="0" distR="0" wp14:anchorId="12E6D810" wp14:editId="3CFBA37F">
              <wp:extent cx="12700" cy="12700"/>
              <wp:effectExtent l="0" t="0" r="0" b="0"/>
              <wp:docPr id="3" name="Image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00" cy="1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898989"/>
            <w:sz w:val="26"/>
            <w:szCs w:val="26"/>
            <w:lang w:val="es-ES"/>
          </w:rPr>
          <w:t>▼</w:t>
        </w:r>
      </w:hyperlink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30"/>
          <w:szCs w:val="30"/>
          <w:lang w:val="es-ES"/>
        </w:rPr>
      </w:pPr>
      <w:r>
        <w:rPr>
          <w:rFonts w:ascii="Verdana" w:hAnsi="Verdana" w:cs="Verdana"/>
          <w:b/>
          <w:bCs/>
          <w:sz w:val="30"/>
          <w:szCs w:val="30"/>
          <w:lang w:val="es-ES"/>
        </w:rPr>
        <w:t>CUESTIONARIO DE EVALUACIÓN. CURSO: SENSIBILIZACIÓN EN IGUALDAD DE OPORTUNIDADES. UNIDAD DIDÁCTICA: ANÁLISIS DE LA SITUACIÓN SOCIOECONÓMICA DE LAS MUJERES EN NUESTRO PAÍS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Noteworthy Bold" w:hAnsi="Noteworthy Bold" w:cs="Noteworthy Bold"/>
          <w:sz w:val="22"/>
          <w:szCs w:val="22"/>
          <w:lang w:val="es-ES"/>
        </w:rPr>
        <w:t>﻿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CUESTIONARIO DE EVALUACIÓN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CURSO: SENSIBILIZACIÓN EN IGUALDAD DE OPORTUNIDADES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UNIDAD DIDÁCTICA 4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1. La incorporación de las mujeres al mercado laboral ha sido progresiva a lo largo del siglo XX constituyendo uno de los cambios más importantes en la estructura de nuestra sociedad. El indicador básico para medir dicha incorporación ha sido y es: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bookmarkStart w:id="0" w:name="_GoBack"/>
      <w:bookmarkEnd w:id="0"/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a) La tasa de actividad femenina.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 La tasa de población activa femenina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La tasa de población ocupada femenina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2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2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2. La tasa de actividad de las mujeres en el 2014 según la EPA es: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Es similar en las generaciones más jóvenes, inferiores a 25 años.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b) Es inferior a la de los hombres, en torno a trece puntos, ya que las mujeres abandonan el mercado laboral cuando tienen hijas e hijos.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Es similar a la de los hombres, en los grupos de edad más jóvenes, menos de 25 años, y a partir de los 50 años. Es decir, en aquellos grupos de edad, en los que las mujeres no tienen que hacer frente a las responsabilidades de cuidado de las hijas e hijos.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3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3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3. La posición de las mujeres en el mercado laboral se caracteriza, entre otras cosas por la segregación horizontal, lo cual supone: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a) Estar trabajando en + el sector servicios, en empleos asociados a los roles tradicionales de género. En concreto, en empleos relacionados con los roles tradicionales de género.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 Estar empleadas con contrato temporal y a tiempo parcial en el sector servicios.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c)Estar empleadas en trabajos no cualificados en los diferentes sectores económicos.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4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4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4. ¿Qué es la brecha salarial de género?</w:t>
      </w:r>
    </w:p>
    <w:p w:rsidR="00096A44" w:rsidRP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lang w:val="es-ES"/>
        </w:rPr>
        <w:lastRenderedPageBreak/>
        <w:t>a) El promedio de retribución de hombres y mujeres por año.</w:t>
      </w:r>
    </w:p>
    <w:p w:rsidR="00096A44" w:rsidRP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b) La diferencia relativa que existe en la media de los ingresos brutos por hora de mujeres y hombres en todos los sectores de la economía.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lang w:val="es-ES"/>
        </w:rPr>
        <w:t>c) La diferencia del salario medio entre hombres y mujeres.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5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5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5. De acuerdo con la Ley Orgánica 3/2007 de 22 de marzo, para la igualdad efectiva de mujeres y hombres, la composición equilibrada consiste en: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a) La presencia de mujeres y hombres de forma que, en el conjunto a que se refiera, las personas de cada sexo no superen el sesenta por ciento ni sean menos del cuarenta por ciento.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 Se trata de una medida de discriminación positiva a través de la cual la participación de las mujeres ha de ser del 50% en las listas electorales de los partidos políticos.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La participación de mujeres y hombres en igualdad de condiciones en los órganos de dirección de las empresas.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6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6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6. En el ámbito político, la participación de las mujeres en el Congreso y en el Senado es: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Paritaria desde la entrada en vigor de la Ley Orgánica 3/2007 de 22 de marzo, para la igualdad efectiva de mujeres y hombres.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b) Desde principios de 2013, se puede hablar de paritaria en el Congreso (39,75%) pero no en el Senado (33,33%).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La participación equilibrada de mujeres y hombres en el Congreso y Senado no es paritaria y se debe a los partidos políticos que no cuentan con un número suficiente de afiliadas.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7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7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7. La participación de las mujeres en el poder judicial es: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En los Juzgados de primera instancia, el 63,3% tienen a mujeres como titulares.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 En los órganos superiores de la carrera judicial, la participación de las mujeres no llega al 20%.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c) Ambas respuestas son correctas.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8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8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8. Respecto al personal de la Administración Pública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La mayor parte del mismo son mujeres ya que el sistema de oposiciones asegura la igualdad de oportunidades entre mujeres y hombres.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b) En la administración pública estatal la mayoría del personal son hombres. Mientras que en la autonómica, la mayoría del personal son mujeres como consecuencia de que las competencias en sanidad y educación están transferidas y, en la administración local se puede hablar de paridad.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Tanto en la administración general como en la administración local la presencia de los hombres es mayoritaria mientras que en la administración autonómica las mujeres tienen más presencia debido a la transferencia de las competencias en sanidad y educación.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9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9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9. Según la Ley Orgánica 3/2007 de 22 de marzo, para la igualdad efectiva de mujeres y hombres, la participación de las mujeres en los Consejos de Administración ha de ser: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Dicha Ley aconseja que sea una participación equilibrada pero no puede obligar a que las empresas tengan en sus Consejos de Administración una mayor representación de mujeres ya que, quienes forman parte de los mismos, tienen intereses económicos en dichas empresas.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 Dicha ley establece que sea paritaria en las empresas que componen el IBEX 35 en el 2020.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c) Dicha Ley aconseja que se procuré incluir en los Consejo de administración un número de mujeres que permita alcanzar una presencia equilibrada de mujeres y hombres en un plazo de ocho años a partir de la entrada en vigor de esta Ley.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10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10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10. En esta misma ley se recoge el permiso de paternidad. Se trata de un derecho que: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 Exclusivamente lo puede disfrutar el padre y consiste en el derecho del trabajador a percibir un subsidio durante los tres días de suspensión del contrato de trabajo, o cese de actividad, en caso de nacimiento de la hija o el hijo, adopción o acogimiento tres días desde el nacimiento del hijo o hija.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 xml:space="preserve">b) Exclusivamente lo puede disfrutar el padre y consiste en el derecho del trabajador a percibir un subsidio durante los trece días de suspensión del contrato de trabajo, o cese de actividad, en caso de nacimiento de hijas/hijos, </w:t>
      </w:r>
      <w:proofErr w:type="spellStart"/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>adoón</w:t>
      </w:r>
      <w:proofErr w:type="spellEnd"/>
      <w:r w:rsidRPr="00096A44">
        <w:rPr>
          <w:rFonts w:ascii="Verdana" w:hAnsi="Verdana" w:cs="Verdana"/>
          <w:sz w:val="22"/>
          <w:szCs w:val="22"/>
          <w:highlight w:val="green"/>
          <w:lang w:val="es-ES"/>
        </w:rPr>
        <w:t xml:space="preserve"> o acogimiento. En el futuro, se ampliará a un mes</w:t>
      </w:r>
      <w:r>
        <w:rPr>
          <w:rFonts w:ascii="Verdana" w:hAnsi="Verdana" w:cs="Verdana"/>
          <w:sz w:val="22"/>
          <w:szCs w:val="22"/>
          <w:lang w:val="es-ES"/>
        </w:rPr>
        <w:t>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 Supone que parte del permiso de maternidad es disfrutado por el padre y consiste en el derecho del trabajador a percibir un subsidio durante el tiempo que disfrute de dicho permiso de maternidad, siendo como máximo catorce semanas.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</w:pPr>
      <w:r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  <w:t>Test completado</w:t>
      </w: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096A44" w:rsidRDefault="00096A44" w:rsidP="00096A4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FF7470" w:rsidRDefault="00096A44" w:rsidP="00096A44">
      <w:r>
        <w:rPr>
          <w:rFonts w:ascii="Arial" w:hAnsi="Arial" w:cs="Arial"/>
          <w:color w:val="FFFFFF"/>
          <w:sz w:val="28"/>
          <w:szCs w:val="28"/>
          <w:lang w:val="es-ES"/>
        </w:rPr>
        <w:t>A-AA+</w:t>
      </w:r>
    </w:p>
    <w:sectPr w:rsidR="00FF7470" w:rsidSect="0028435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Noteworthy Bold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44"/>
    <w:rsid w:val="00096A44"/>
    <w:rsid w:val="00284354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6C10F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6A4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6A4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6A4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6A4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hyperlink" Target="javascript:void(0)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923</Words>
  <Characters>5082</Characters>
  <Application>Microsoft Macintosh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Hurtado García</dc:creator>
  <cp:keywords/>
  <dc:description/>
  <cp:lastModifiedBy>Ernesto Carlos Hurtado García</cp:lastModifiedBy>
  <cp:revision>1</cp:revision>
  <dcterms:created xsi:type="dcterms:W3CDTF">2015-02-03T22:48:00Z</dcterms:created>
  <dcterms:modified xsi:type="dcterms:W3CDTF">2015-02-03T22:51:00Z</dcterms:modified>
</cp:coreProperties>
</file>